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R5-222745</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1700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6.5.3.2 Spurious emissions for UE co-existence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TEI15_Test, 5GS_NR_LTE-UEConTest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Update with latest changes in TS 38.101-1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Modified Table 6.5.3.2.3-1: Requirements for spurious emissions for UE co-existence Rel-15 with core spec updates.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t>6.5.3.2</w:t>
      </w:r>
      <w:r>
        <w:tab/>
        <w:t>Spurious emissions for UE co-existence</w:t>
      </w:r>
      <w:bookmarkEnd w:id="1"/>
      <w:bookmarkEnd w:id="2"/>
      <w:bookmarkEnd w:id="3"/>
      <w:bookmarkEnd w:id="4"/>
      <w:bookmarkEnd w:id="5"/>
      <w:bookmarkEnd w:id="6"/>
      <w:bookmarkEnd w:id="7"/>
      <w:bookmarkEnd w:id="8"/>
      <w:bookmarkEnd w:id="9"/>
      <w:bookmarkEnd w:id="10"/>
    </w:p>
    <w:p>
      <w:pPr>
        <w:pStyle w:val="H6"/>
      </w:pPr>
      <w:bookmarkStart w:id="11" w:name="_Toc27478183"/>
      <w:bookmarkStart w:id="12" w:name="_Toc36226895"/>
      <w:bookmarkStart w:id="13" w:name="_Toc44324180"/>
      <w:bookmarkStart w:id="14" w:name="_Toc52990374"/>
      <w:bookmarkStart w:id="15" w:name="_Toc60823573"/>
      <w:bookmarkStart w:id="16" w:name="_Toc60825495"/>
      <w:r>
        <w:t>6.5.3.2.1</w:t>
      </w:r>
      <w:r>
        <w:tab/>
        <w:t>Test purpose</w:t>
      </w:r>
      <w:bookmarkEnd w:id="11"/>
      <w:bookmarkEnd w:id="12"/>
      <w:bookmarkEnd w:id="13"/>
      <w:bookmarkEnd w:id="14"/>
      <w:bookmarkEnd w:id="15"/>
      <w:bookmarkEnd w:id="16"/>
    </w:p>
    <w:p>
      <w:r>
        <w:t>To verify that UE transmitter does not cause unacceptable interference to co-existing systems for the specified bands which has specific requirements in terms of transmitter spurious emissions.</w:t>
      </w:r>
    </w:p>
    <w:p>
      <w:pPr>
        <w:pStyle w:val="H6"/>
      </w:pPr>
      <w:bookmarkStart w:id="17" w:name="_Toc27478184"/>
      <w:bookmarkStart w:id="18" w:name="_Toc36226896"/>
      <w:bookmarkStart w:id="19" w:name="_Toc44324181"/>
      <w:bookmarkStart w:id="20" w:name="_Toc52990375"/>
      <w:bookmarkStart w:id="21" w:name="_Toc60823574"/>
      <w:bookmarkStart w:id="22" w:name="_Toc60825496"/>
      <w:r>
        <w:t>6.5.3.2.2</w:t>
      </w:r>
      <w:r>
        <w:tab/>
        <w:t>Test applicability</w:t>
      </w:r>
      <w:bookmarkEnd w:id="17"/>
      <w:bookmarkEnd w:id="18"/>
      <w:bookmarkEnd w:id="19"/>
      <w:bookmarkEnd w:id="20"/>
      <w:bookmarkEnd w:id="21"/>
      <w:bookmarkEnd w:id="22"/>
    </w:p>
    <w:p>
      <w:r>
        <w:t>This test case applies to all types of NR UE release 15 and forward.</w:t>
      </w:r>
    </w:p>
    <w:p>
      <w:pPr>
        <w:pStyle w:val="H6"/>
      </w:pPr>
      <w:bookmarkStart w:id="23" w:name="_Toc27478185"/>
      <w:bookmarkStart w:id="24" w:name="_Toc36226897"/>
      <w:bookmarkStart w:id="25" w:name="_Toc44324182"/>
      <w:bookmarkStart w:id="26" w:name="_Toc52990376"/>
      <w:bookmarkStart w:id="27" w:name="_Toc60823575"/>
      <w:bookmarkStart w:id="28" w:name="_Toc60825497"/>
      <w:r>
        <w:t>6.5.3.2.3</w:t>
      </w:r>
      <w:r>
        <w:tab/>
        <w:t>Minimum conformance requirements</w:t>
      </w:r>
      <w:bookmarkEnd w:id="23"/>
      <w:bookmarkEnd w:id="24"/>
      <w:bookmarkEnd w:id="25"/>
      <w:bookmarkEnd w:id="26"/>
      <w:bookmarkEnd w:id="27"/>
      <w:bookmarkEnd w:id="28"/>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5, 7, 8, 11, 18, 19, 20, 21, 22, 26, 27, 28, 31, 32, 38, 40, 41, 42, 43, 44, 45, 50, 51, 52, 65, 67, 68, 69, 72, 73,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5, 7, 8, 20, 26, 27, 28, 31, 32, 33, 34, 38, 39, 40, 41, 43, 44, 45, 50, 51, 65, 67, 68, 69, 72, 73,74, 75, 76</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22, 42,</w:t>
            </w:r>
            <w:ins w:id="29" w:author="Kevin Wang (QMC)" w:date="2022-04-21T15:02:00Z">
              <w:r>
                <w:t xml:space="preserve"> </w:t>
              </w:r>
            </w:ins>
            <w:r>
              <w:t>52</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18, 19, 24, 25, 26, 28, 29, 30, 31, 34, 38, 40, 42, 43, 45, 48, 50, 51, 65, 66, 70, 71, 73, 74, 85</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41, 52, 53</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20, 22, 26, 27, 28, 29, 30, 31, 32, 33, 34, 40, 42, 43, 50, 51, 52, 65, 66, 67, 68, 72, 74, 75, 76,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 7, 22, 41, 42, 43, 52,</w:t>
            </w:r>
          </w:p>
          <w:p>
            <w:pPr>
              <w:pStyle w:val="TAC"/>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del w:id="30" w:author="Kevin Wang (QMC)" w:date="2022-04-21T15:06:00Z">
              <w:r>
                <w:delText>23</w:delText>
              </w:r>
            </w:del>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48, 51, 66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38, 42, </w:t>
            </w:r>
            <w:ins w:id="31" w:author="Kevin Wang (QMC)" w:date="2022-04-21T15:08:00Z">
              <w:r>
                <w:t xml:space="preserve">52, </w:t>
              </w:r>
            </w:ins>
            <w:r>
              <w:t>69</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4, 22, 32, 42, 43, 50, 51, 65, 66, </w:t>
            </w:r>
            <w:del w:id="32" w:author="Kevin Wang (QMC)" w:date="2022-04-21T14:48:00Z">
              <w:r>
                <w:delText xml:space="preserve">73, </w:delText>
              </w:r>
            </w:del>
            <w:r>
              <w:t>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3, 5, 7, 8, 18, 19, 20, 25, 26, 27, 31, 34, 38, 40, 41, 52, 72</w:t>
            </w:r>
            <w:ins w:id="33" w:author="Kevin Wang (QMC)" w:date="2022-04-21T14:49:00Z">
              <w:r>
                <w:t>, 73</w:t>
              </w:r>
            </w:ins>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11, 18, 19, 20, 21, 22, 26, 28, 31, 32, 33, 38,</w:t>
            </w:r>
            <w:ins w:id="34" w:author="Kevin Wang (QMC)" w:date="2022-04-21T15:11:00Z">
              <w:r>
                <w:t xml:space="preserve"> </w:t>
              </w:r>
            </w:ins>
            <w:r>
              <w:t>39, 40, 41, 42, 43, 44, 45, 50, 51, 52, 65, 67, 69, 72, 74, 75, 76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8, 22, 26, 34, 40, 41, 42, 44, 45, 50, 51, 52, 74</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33, 34, 38, 39, 41, 42, 43, 44, 45, 50, 51, 52, 65, 67, 68, 69, 72, 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n41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24, 25, 26, 27, 28, 29, 30, 34, 39, 42, 44, 45, 48, 50, 51, 52, 65, 66, 70, 71, 73, 74,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42, 48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25, 41, 70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18, 19, 20, 26, 28, 29, 31, 34, 38, 39, 40, 41, 42, 43, 48, 52, 65, 66, 67, 68,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ins w:id="35" w:author="Kevin Wang (QMC)" w:date="2022-04-21T14:53:00Z"/>
        </w:trPr>
        <w:tc>
          <w:tcPr>
            <w:tcW w:w="959" w:type="dxa"/>
            <w:tcBorders>
              <w:top w:val="nil"/>
              <w:left w:val="single" w:sz="4" w:space="0" w:color="auto"/>
              <w:bottom w:val="nil"/>
              <w:right w:val="single" w:sz="6" w:space="0" w:color="auto"/>
            </w:tcBorders>
          </w:tcPr>
          <w:p>
            <w:pPr>
              <w:pStyle w:val="TAC"/>
              <w:rPr>
                <w:ins w:id="36" w:author="Kevin Wang (QMC)" w:date="2022-04-21T14:53:00Z"/>
              </w:rPr>
            </w:pPr>
          </w:p>
        </w:tc>
        <w:tc>
          <w:tcPr>
            <w:tcW w:w="2831" w:type="dxa"/>
            <w:tcBorders>
              <w:top w:val="single" w:sz="6" w:space="0" w:color="auto"/>
              <w:left w:val="single" w:sz="6" w:space="0" w:color="auto"/>
              <w:bottom w:val="single" w:sz="6" w:space="0" w:color="auto"/>
              <w:right w:val="single" w:sz="6" w:space="0" w:color="auto"/>
            </w:tcBorders>
          </w:tcPr>
          <w:p>
            <w:pPr>
              <w:pStyle w:val="TAC"/>
              <w:rPr>
                <w:ins w:id="37" w:author="Kevin Wang (QMC)" w:date="2022-04-21T14:53:00Z"/>
              </w:rPr>
            </w:pPr>
            <w:ins w:id="38" w:author="Kevin Wang (QMC)" w:date="2022-04-21T14:53:00Z">
              <w:r>
                <w:t>Frequency range</w:t>
              </w:r>
            </w:ins>
          </w:p>
        </w:tc>
        <w:tc>
          <w:tcPr>
            <w:tcW w:w="964" w:type="dxa"/>
            <w:tcBorders>
              <w:top w:val="single" w:sz="6" w:space="0" w:color="auto"/>
              <w:left w:val="single" w:sz="6" w:space="0" w:color="auto"/>
              <w:bottom w:val="single" w:sz="6" w:space="0" w:color="auto"/>
              <w:right w:val="single" w:sz="6" w:space="0" w:color="auto"/>
            </w:tcBorders>
          </w:tcPr>
          <w:p>
            <w:pPr>
              <w:pStyle w:val="TAC"/>
              <w:rPr>
                <w:ins w:id="39" w:author="Kevin Wang (QMC)" w:date="2022-04-21T14:53:00Z"/>
              </w:rPr>
            </w:pPr>
            <w:ins w:id="40" w:author="Kevin Wang (QMC)" w:date="2022-04-21T14:53:00Z">
              <w:r>
                <w:t>1475</w:t>
              </w:r>
            </w:ins>
          </w:p>
        </w:tc>
        <w:tc>
          <w:tcPr>
            <w:tcW w:w="386" w:type="dxa"/>
            <w:tcBorders>
              <w:top w:val="single" w:sz="6" w:space="0" w:color="auto"/>
              <w:left w:val="single" w:sz="6" w:space="0" w:color="auto"/>
              <w:bottom w:val="single" w:sz="6" w:space="0" w:color="auto"/>
              <w:right w:val="single" w:sz="6" w:space="0" w:color="auto"/>
            </w:tcBorders>
          </w:tcPr>
          <w:p>
            <w:pPr>
              <w:pStyle w:val="TAC"/>
              <w:rPr>
                <w:ins w:id="41" w:author="Kevin Wang (QMC)" w:date="2022-04-21T14:53:00Z"/>
              </w:rPr>
            </w:pPr>
            <w:ins w:id="42" w:author="Kevin Wang (QMC)" w:date="2022-04-21T14:53:00Z">
              <w:r>
                <w:t>-</w:t>
              </w:r>
            </w:ins>
          </w:p>
        </w:tc>
        <w:tc>
          <w:tcPr>
            <w:tcW w:w="1174" w:type="dxa"/>
            <w:tcBorders>
              <w:top w:val="single" w:sz="6" w:space="0" w:color="auto"/>
              <w:left w:val="single" w:sz="6" w:space="0" w:color="auto"/>
              <w:bottom w:val="single" w:sz="6" w:space="0" w:color="auto"/>
              <w:right w:val="single" w:sz="6" w:space="0" w:color="auto"/>
            </w:tcBorders>
          </w:tcPr>
          <w:p>
            <w:pPr>
              <w:pStyle w:val="TAC"/>
              <w:rPr>
                <w:ins w:id="43" w:author="Kevin Wang (QMC)" w:date="2022-04-21T14:53:00Z"/>
              </w:rPr>
            </w:pPr>
            <w:ins w:id="44" w:author="Kevin Wang (QMC)" w:date="2022-04-21T14:53:00Z">
              <w:r>
                <w:t>1488</w:t>
              </w:r>
            </w:ins>
          </w:p>
        </w:tc>
        <w:tc>
          <w:tcPr>
            <w:tcW w:w="848" w:type="dxa"/>
            <w:tcBorders>
              <w:top w:val="single" w:sz="6" w:space="0" w:color="auto"/>
              <w:left w:val="single" w:sz="6" w:space="0" w:color="auto"/>
              <w:bottom w:val="single" w:sz="6" w:space="0" w:color="auto"/>
              <w:right w:val="single" w:sz="6" w:space="0" w:color="auto"/>
            </w:tcBorders>
          </w:tcPr>
          <w:p>
            <w:pPr>
              <w:pStyle w:val="TAC"/>
              <w:rPr>
                <w:ins w:id="45" w:author="Kevin Wang (QMC)" w:date="2022-04-21T14:53:00Z"/>
              </w:rPr>
            </w:pPr>
            <w:ins w:id="46" w:author="Kevin Wang (QMC)" w:date="2022-04-21T14:53:00Z">
              <w:r>
                <w:t>-28</w:t>
              </w:r>
            </w:ins>
          </w:p>
        </w:tc>
        <w:tc>
          <w:tcPr>
            <w:tcW w:w="850" w:type="dxa"/>
            <w:tcBorders>
              <w:top w:val="single" w:sz="6" w:space="0" w:color="auto"/>
              <w:left w:val="single" w:sz="6" w:space="0" w:color="auto"/>
              <w:bottom w:val="single" w:sz="6" w:space="0" w:color="auto"/>
              <w:right w:val="single" w:sz="6" w:space="0" w:color="auto"/>
            </w:tcBorders>
            <w:noWrap/>
          </w:tcPr>
          <w:p>
            <w:pPr>
              <w:pStyle w:val="TAC"/>
              <w:rPr>
                <w:ins w:id="47" w:author="Kevin Wang (QMC)" w:date="2022-04-21T14:53:00Z"/>
              </w:rPr>
            </w:pPr>
            <w:ins w:id="48" w:author="Kevin Wang (QMC)" w:date="2022-04-21T14:53:00Z">
              <w:r>
                <w:t>1</w:t>
              </w:r>
            </w:ins>
          </w:p>
        </w:tc>
        <w:tc>
          <w:tcPr>
            <w:tcW w:w="928" w:type="dxa"/>
            <w:tcBorders>
              <w:top w:val="single" w:sz="6" w:space="0" w:color="auto"/>
              <w:left w:val="single" w:sz="6" w:space="0" w:color="auto"/>
              <w:bottom w:val="single" w:sz="6" w:space="0" w:color="auto"/>
              <w:right w:val="single" w:sz="4" w:space="0" w:color="auto"/>
            </w:tcBorders>
            <w:noWrap/>
          </w:tcPr>
          <w:p>
            <w:pPr>
              <w:pStyle w:val="TAC"/>
              <w:rPr>
                <w:ins w:id="49" w:author="Kevin Wang (QMC)" w:date="2022-04-21T14:53:00Z"/>
              </w:rPr>
            </w:pPr>
            <w:ins w:id="50" w:author="Kevin Wang (QMC)" w:date="2022-04-21T14:53:00Z">
              <w:r>
                <w:t>15, 42</w:t>
              </w:r>
            </w:ins>
          </w:p>
        </w:tc>
      </w:tr>
      <w:tr>
        <w:trPr>
          <w:trHeight w:val="225"/>
          <w:jc w:val="center"/>
        </w:trPr>
        <w:tc>
          <w:tcPr>
            <w:tcW w:w="959" w:type="dxa"/>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tcBorders>
              <w:top w:val="nil"/>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del w:id="51" w:author="Kevin Wang (QMC)" w:date="2022-04-21T14:58:00Z"/>
        </w:trPr>
        <w:tc>
          <w:tcPr>
            <w:tcW w:w="959" w:type="dxa"/>
            <w:tcBorders>
              <w:left w:val="single" w:sz="4" w:space="0" w:color="auto"/>
              <w:bottom w:val="single" w:sz="6" w:space="0" w:color="auto"/>
              <w:right w:val="single" w:sz="6" w:space="0" w:color="auto"/>
            </w:tcBorders>
          </w:tcPr>
          <w:p>
            <w:pPr>
              <w:pStyle w:val="TAC"/>
              <w:rPr>
                <w:del w:id="52" w:author="Kevin Wang (QMC)" w:date="2022-04-21T14:58:00Z"/>
              </w:rPr>
            </w:pPr>
          </w:p>
        </w:tc>
        <w:tc>
          <w:tcPr>
            <w:tcW w:w="2831" w:type="dxa"/>
            <w:tcBorders>
              <w:top w:val="single" w:sz="6" w:space="0" w:color="auto"/>
              <w:left w:val="single" w:sz="6" w:space="0" w:color="auto"/>
              <w:bottom w:val="single" w:sz="6" w:space="0" w:color="auto"/>
              <w:right w:val="single" w:sz="6" w:space="0" w:color="auto"/>
            </w:tcBorders>
          </w:tcPr>
          <w:p>
            <w:pPr>
              <w:pStyle w:val="TAC"/>
              <w:rPr>
                <w:del w:id="53" w:author="Kevin Wang (QMC)" w:date="2022-04-21T14:58:00Z"/>
              </w:rPr>
            </w:pPr>
            <w:del w:id="54" w:author="Kevin Wang (QMC)" w:date="2022-04-21T14:51:00Z">
              <w:r>
                <w:delText>Frequency range</w:delText>
              </w:r>
            </w:del>
          </w:p>
        </w:tc>
        <w:tc>
          <w:tcPr>
            <w:tcW w:w="964" w:type="dxa"/>
            <w:tcBorders>
              <w:top w:val="single" w:sz="6" w:space="0" w:color="auto"/>
              <w:left w:val="single" w:sz="6" w:space="0" w:color="auto"/>
              <w:bottom w:val="single" w:sz="6" w:space="0" w:color="auto"/>
              <w:right w:val="single" w:sz="6" w:space="0" w:color="auto"/>
            </w:tcBorders>
          </w:tcPr>
          <w:p>
            <w:pPr>
              <w:pStyle w:val="TAC"/>
              <w:rPr>
                <w:del w:id="55" w:author="Kevin Wang (QMC)" w:date="2022-04-21T14:58:00Z"/>
              </w:rPr>
            </w:pPr>
            <w:del w:id="56" w:author="Kevin Wang (QMC)" w:date="2022-04-21T14:51:00Z">
              <w:r>
                <w:delText>1488</w:delText>
              </w:r>
            </w:del>
          </w:p>
        </w:tc>
        <w:tc>
          <w:tcPr>
            <w:tcW w:w="386" w:type="dxa"/>
            <w:tcBorders>
              <w:top w:val="single" w:sz="6" w:space="0" w:color="auto"/>
              <w:left w:val="single" w:sz="6" w:space="0" w:color="auto"/>
              <w:bottom w:val="single" w:sz="6" w:space="0" w:color="auto"/>
              <w:right w:val="single" w:sz="6" w:space="0" w:color="auto"/>
            </w:tcBorders>
          </w:tcPr>
          <w:p>
            <w:pPr>
              <w:pStyle w:val="TAC"/>
              <w:rPr>
                <w:del w:id="57" w:author="Kevin Wang (QMC)" w:date="2022-04-21T14:58:00Z"/>
              </w:rPr>
            </w:pPr>
            <w:del w:id="58" w:author="Kevin Wang (QMC)" w:date="2022-04-21T14:51:00Z">
              <w:r>
                <w:delText>-</w:delText>
              </w:r>
            </w:del>
          </w:p>
        </w:tc>
        <w:tc>
          <w:tcPr>
            <w:tcW w:w="1174" w:type="dxa"/>
            <w:tcBorders>
              <w:top w:val="single" w:sz="6" w:space="0" w:color="auto"/>
              <w:left w:val="single" w:sz="6" w:space="0" w:color="auto"/>
              <w:bottom w:val="single" w:sz="6" w:space="0" w:color="auto"/>
              <w:right w:val="single" w:sz="6" w:space="0" w:color="auto"/>
            </w:tcBorders>
          </w:tcPr>
          <w:p>
            <w:pPr>
              <w:pStyle w:val="TAC"/>
              <w:rPr>
                <w:del w:id="59" w:author="Kevin Wang (QMC)" w:date="2022-04-21T14:58:00Z"/>
              </w:rPr>
            </w:pPr>
            <w:del w:id="60" w:author="Kevin Wang (QMC)" w:date="2022-04-21T14:51:00Z">
              <w:r>
                <w:delText>1518</w:delText>
              </w:r>
            </w:del>
          </w:p>
        </w:tc>
        <w:tc>
          <w:tcPr>
            <w:tcW w:w="848" w:type="dxa"/>
            <w:tcBorders>
              <w:top w:val="single" w:sz="6" w:space="0" w:color="auto"/>
              <w:left w:val="single" w:sz="6" w:space="0" w:color="auto"/>
              <w:bottom w:val="single" w:sz="6" w:space="0" w:color="auto"/>
              <w:right w:val="single" w:sz="6" w:space="0" w:color="auto"/>
            </w:tcBorders>
          </w:tcPr>
          <w:p>
            <w:pPr>
              <w:pStyle w:val="TAC"/>
              <w:rPr>
                <w:del w:id="61" w:author="Kevin Wang (QMC)" w:date="2022-04-21T14:58:00Z"/>
              </w:rPr>
            </w:pPr>
            <w:del w:id="62" w:author="Kevin Wang (QMC)" w:date="2022-04-21T14:51:00Z">
              <w:r>
                <w:delText>-50</w:delText>
              </w:r>
            </w:del>
          </w:p>
        </w:tc>
        <w:tc>
          <w:tcPr>
            <w:tcW w:w="850" w:type="dxa"/>
            <w:tcBorders>
              <w:top w:val="single" w:sz="6" w:space="0" w:color="auto"/>
              <w:left w:val="single" w:sz="6" w:space="0" w:color="auto"/>
              <w:bottom w:val="single" w:sz="6" w:space="0" w:color="auto"/>
              <w:right w:val="single" w:sz="6" w:space="0" w:color="auto"/>
            </w:tcBorders>
            <w:noWrap/>
          </w:tcPr>
          <w:p>
            <w:pPr>
              <w:pStyle w:val="TAC"/>
              <w:rPr>
                <w:del w:id="63" w:author="Kevin Wang (QMC)" w:date="2022-04-21T14:58:00Z"/>
              </w:rPr>
            </w:pPr>
            <w:del w:id="64" w:author="Kevin Wang (QMC)" w:date="2022-04-21T14:51:00Z">
              <w:r>
                <w:delText>1</w:delText>
              </w:r>
            </w:del>
          </w:p>
        </w:tc>
        <w:tc>
          <w:tcPr>
            <w:tcW w:w="928" w:type="dxa"/>
            <w:tcBorders>
              <w:top w:val="single" w:sz="6" w:space="0" w:color="auto"/>
              <w:left w:val="single" w:sz="6" w:space="0" w:color="auto"/>
              <w:bottom w:val="single" w:sz="6" w:space="0" w:color="auto"/>
              <w:right w:val="single" w:sz="4" w:space="0" w:color="auto"/>
            </w:tcBorders>
            <w:noWrap/>
          </w:tcPr>
          <w:p>
            <w:pPr>
              <w:pStyle w:val="TAC"/>
              <w:rPr>
                <w:del w:id="65" w:author="Kevin Wang (QMC)" w:date="2022-04-21T14:58:00Z"/>
              </w:rPr>
            </w:pPr>
            <w:del w:id="66" w:author="Kevin Wang (QMC)" w:date="2022-04-21T14:51:00Z">
              <w:r>
                <w:delText>15</w:delText>
              </w:r>
            </w:del>
          </w:p>
        </w:tc>
      </w:tr>
      <w:tr>
        <w:trPr>
          <w:trHeight w:val="705"/>
          <w:jc w:val="center"/>
        </w:trPr>
        <w:tc>
          <w:tcPr>
            <w:tcW w:w="959" w:type="dxa"/>
            <w:vMerge w:val="restart"/>
            <w:tcBorders>
              <w:left w:val="single" w:sz="4" w:space="0" w:color="auto"/>
              <w:right w:val="single" w:sz="6" w:space="0" w:color="auto"/>
            </w:tcBorders>
          </w:tcPr>
          <w:p>
            <w:pPr>
              <w:pStyle w:val="TAC"/>
            </w:pPr>
            <w:ins w:id="67" w:author="Kevin Wang (QMC)" w:date="2022-04-21T14:59:00Z">
              <w:r>
                <w:t>n</w:t>
              </w:r>
            </w:ins>
            <w:r>
              <w:t>77</w:t>
            </w:r>
            <w:del w:id="68" w:author="Kevin Wang (QMC)" w:date="2022-04-21T14:59:00Z">
              <w:r>
                <w:delText>,</w:delText>
              </w:r>
            </w:del>
            <w:r>
              <w:t xml:space="preserve"> </w:t>
            </w:r>
            <w:del w:id="69" w:author="Kevin Wang (QMC)" w:date="2022-04-21T14:59:00Z">
              <w:r>
                <w:delText>n78</w:delText>
              </w:r>
            </w:del>
          </w:p>
        </w:tc>
        <w:tc>
          <w:tcPr>
            <w:tcW w:w="2831" w:type="dxa"/>
            <w:tcBorders>
              <w:top w:val="single" w:sz="6" w:space="0" w:color="auto"/>
              <w:left w:val="single" w:sz="6" w:space="0" w:color="auto"/>
              <w:right w:val="single" w:sz="6" w:space="0" w:color="auto"/>
            </w:tcBorders>
          </w:tcPr>
          <w:p>
            <w:pPr>
              <w:pStyle w:val="TAC"/>
            </w:pPr>
            <w:r>
              <w:t>E-UTRA Band 1, 3, 5, 7, 8, 11, 18, 19, 20, 21, 26, 28, 34, 39, 40, 41, 65, 74</w:t>
            </w:r>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t xml:space="preserve"> </w:t>
            </w:r>
          </w:p>
        </w:tc>
        <w:tc>
          <w:tcPr>
            <w:tcW w:w="848" w:type="dxa"/>
            <w:tcBorders>
              <w:top w:val="single" w:sz="6" w:space="0" w:color="auto"/>
              <w:left w:val="single" w:sz="6" w:space="0" w:color="auto"/>
              <w:right w:val="single" w:sz="6" w:space="0" w:color="auto"/>
            </w:tcBorders>
          </w:tcPr>
          <w:p>
            <w:pPr>
              <w:pStyle w:val="PL"/>
              <w:jc w:val="center"/>
              <w:rPr>
                <w:rFonts w:ascii="Arial" w:hAnsi="Arial" w:cs="Arial"/>
                <w:noProof w:val="0"/>
                <w:sz w:val="18"/>
                <w:szCs w:val="18"/>
                <w:rPrChange w:id="70" w:author="Kevin Wang (QMC)" w:date="2022-04-21T14:56:00Z">
                  <w:rPr>
                    <w:noProof w:val="0"/>
                  </w:rPr>
                </w:rPrChange>
              </w:rPr>
              <w:pPrChange w:id="71" w:author="Kevin Wang (QMC)" w:date="2022-04-21T14:56:00Z">
                <w:pPr>
                  <w:pStyle w:val="PL"/>
                </w:pPr>
              </w:pPrChange>
            </w:pPr>
            <w:r>
              <w:rPr>
                <w:rFonts w:ascii="Arial" w:hAnsi="Arial" w:cs="Arial"/>
                <w:noProof w:val="0"/>
                <w:sz w:val="18"/>
                <w:szCs w:val="18"/>
                <w:rPrChange w:id="72" w:author="Kevin Wang (QMC)" w:date="2022-04-21T14:56:00Z">
                  <w:rPr>
                    <w:rFonts w:cs="Arial"/>
                    <w:noProof w:val="0"/>
                    <w:szCs w:val="18"/>
                  </w:rPr>
                </w:rPrChange>
              </w:rPr>
              <w:t>-50</w:t>
            </w:r>
          </w:p>
        </w:tc>
        <w:tc>
          <w:tcPr>
            <w:tcW w:w="850" w:type="dxa"/>
            <w:tcBorders>
              <w:top w:val="single" w:sz="6" w:space="0" w:color="auto"/>
              <w:left w:val="single" w:sz="6" w:space="0" w:color="auto"/>
              <w:right w:val="single" w:sz="6" w:space="0" w:color="auto"/>
            </w:tcBorders>
            <w:noWrap/>
          </w:tcPr>
          <w:p>
            <w:pPr>
              <w:pStyle w:val="PL"/>
              <w:jc w:val="center"/>
              <w:rPr>
                <w:rFonts w:ascii="Arial" w:hAnsi="Arial" w:cs="Arial"/>
                <w:noProof w:val="0"/>
                <w:sz w:val="18"/>
                <w:szCs w:val="18"/>
                <w:rPrChange w:id="73" w:author="Kevin Wang (QMC)" w:date="2022-04-21T14:56:00Z">
                  <w:rPr>
                    <w:noProof w:val="0"/>
                  </w:rPr>
                </w:rPrChange>
              </w:rPr>
              <w:pPrChange w:id="74" w:author="Kevin Wang (QMC)" w:date="2022-04-21T14:56:00Z">
                <w:pPr>
                  <w:pStyle w:val="PL"/>
                </w:pPr>
              </w:pPrChange>
            </w:pPr>
            <w:r>
              <w:rPr>
                <w:rFonts w:ascii="Arial" w:hAnsi="Arial" w:cs="Arial"/>
                <w:noProof w:val="0"/>
                <w:sz w:val="18"/>
                <w:szCs w:val="18"/>
                <w:rPrChange w:id="75" w:author="Kevin Wang (QMC)" w:date="2022-04-21T14:56:00Z">
                  <w:rPr>
                    <w:rFonts w:cs="Arial"/>
                    <w:noProof w:val="0"/>
                    <w:szCs w:val="18"/>
                  </w:rPr>
                </w:rPrChange>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ins w:id="76" w:author="Kevin Wang (QMC)" w:date="2022-04-21T14:58:00Z"/>
        </w:trPr>
        <w:tc>
          <w:tcPr>
            <w:tcW w:w="959" w:type="dxa"/>
            <w:vMerge w:val="restart"/>
            <w:tcBorders>
              <w:left w:val="single" w:sz="4" w:space="0" w:color="auto"/>
              <w:right w:val="single" w:sz="6" w:space="0" w:color="auto"/>
            </w:tcBorders>
          </w:tcPr>
          <w:p>
            <w:pPr>
              <w:pStyle w:val="TAC"/>
              <w:rPr>
                <w:ins w:id="77" w:author="Kevin Wang (QMC)" w:date="2022-04-21T14:58:00Z"/>
              </w:rPr>
            </w:pPr>
            <w:ins w:id="78" w:author="Kevin Wang (QMC)" w:date="2022-04-21T14:59:00Z">
              <w:r>
                <w:t>n78</w:t>
              </w:r>
            </w:ins>
          </w:p>
        </w:tc>
        <w:tc>
          <w:tcPr>
            <w:tcW w:w="2831" w:type="dxa"/>
            <w:tcBorders>
              <w:top w:val="single" w:sz="6" w:space="0" w:color="auto"/>
              <w:left w:val="single" w:sz="6" w:space="0" w:color="auto"/>
              <w:bottom w:val="single" w:sz="6" w:space="0" w:color="auto"/>
              <w:right w:val="single" w:sz="6" w:space="0" w:color="auto"/>
            </w:tcBorders>
          </w:tcPr>
          <w:p>
            <w:pPr>
              <w:pStyle w:val="TAC"/>
              <w:rPr>
                <w:ins w:id="79" w:author="Kevin Wang (QMC)" w:date="2022-04-21T14:58:00Z"/>
              </w:rPr>
            </w:pPr>
            <w:ins w:id="80" w:author="Kevin Wang (QMC)" w:date="2022-04-21T14:59:00Z">
              <w:r>
                <w:t>E-UTRA Band 1, 3, 5, 7, 8, 11, 18, 19, 20, 21, 26, 28, 32, 34, 39, 40, 41, 65, 74, 75, 76</w:t>
              </w:r>
            </w:ins>
          </w:p>
        </w:tc>
        <w:tc>
          <w:tcPr>
            <w:tcW w:w="964" w:type="dxa"/>
            <w:tcBorders>
              <w:top w:val="single" w:sz="6" w:space="0" w:color="auto"/>
              <w:left w:val="single" w:sz="6" w:space="0" w:color="auto"/>
              <w:bottom w:val="single" w:sz="6" w:space="0" w:color="auto"/>
              <w:right w:val="single" w:sz="6" w:space="0" w:color="auto"/>
            </w:tcBorders>
          </w:tcPr>
          <w:p>
            <w:pPr>
              <w:pStyle w:val="TAC"/>
              <w:rPr>
                <w:ins w:id="81" w:author="Kevin Wang (QMC)" w:date="2022-04-21T14:58:00Z"/>
              </w:rPr>
            </w:pPr>
            <w:ins w:id="82" w:author="Kevin Wang (QMC)" w:date="2022-04-21T14:59:00Z">
              <w:r>
                <w:t>F</w:t>
              </w:r>
              <w:r>
                <w:rPr>
                  <w:vertAlign w:val="subscript"/>
                </w:rPr>
                <w:t>DL_low</w:t>
              </w:r>
              <w:r>
                <w:t xml:space="preserve"> </w:t>
              </w:r>
            </w:ins>
          </w:p>
        </w:tc>
        <w:tc>
          <w:tcPr>
            <w:tcW w:w="386" w:type="dxa"/>
            <w:tcBorders>
              <w:top w:val="single" w:sz="6" w:space="0" w:color="auto"/>
              <w:left w:val="single" w:sz="6" w:space="0" w:color="auto"/>
              <w:bottom w:val="single" w:sz="6" w:space="0" w:color="auto"/>
              <w:right w:val="single" w:sz="6" w:space="0" w:color="auto"/>
            </w:tcBorders>
          </w:tcPr>
          <w:p>
            <w:pPr>
              <w:pStyle w:val="TAC"/>
              <w:rPr>
                <w:ins w:id="83" w:author="Kevin Wang (QMC)" w:date="2022-04-21T14:58:00Z"/>
              </w:rPr>
            </w:pPr>
            <w:ins w:id="84" w:author="Kevin Wang (QMC)" w:date="2022-04-21T14:59:00Z">
              <w:r>
                <w:t>-</w:t>
              </w:r>
            </w:ins>
          </w:p>
        </w:tc>
        <w:tc>
          <w:tcPr>
            <w:tcW w:w="1174" w:type="dxa"/>
            <w:tcBorders>
              <w:top w:val="single" w:sz="6" w:space="0" w:color="auto"/>
              <w:left w:val="single" w:sz="6" w:space="0" w:color="auto"/>
              <w:bottom w:val="single" w:sz="6" w:space="0" w:color="auto"/>
              <w:right w:val="single" w:sz="6" w:space="0" w:color="auto"/>
            </w:tcBorders>
          </w:tcPr>
          <w:p>
            <w:pPr>
              <w:pStyle w:val="TAC"/>
              <w:rPr>
                <w:ins w:id="85" w:author="Kevin Wang (QMC)" w:date="2022-04-21T14:58:00Z"/>
              </w:rPr>
            </w:pPr>
            <w:ins w:id="86" w:author="Kevin Wang (QMC)" w:date="2022-04-21T14:59:00Z">
              <w:r>
                <w:t>F</w:t>
              </w:r>
              <w:r>
                <w:rPr>
                  <w:vertAlign w:val="subscript"/>
                </w:rPr>
                <w:t>DL_high</w:t>
              </w:r>
            </w:ins>
          </w:p>
        </w:tc>
        <w:tc>
          <w:tcPr>
            <w:tcW w:w="848" w:type="dxa"/>
            <w:tcBorders>
              <w:top w:val="single" w:sz="6" w:space="0" w:color="auto"/>
              <w:left w:val="single" w:sz="6" w:space="0" w:color="auto"/>
              <w:bottom w:val="single" w:sz="6" w:space="0" w:color="auto"/>
              <w:right w:val="single" w:sz="6" w:space="0" w:color="auto"/>
            </w:tcBorders>
          </w:tcPr>
          <w:p>
            <w:pPr>
              <w:pStyle w:val="TAC"/>
              <w:rPr>
                <w:ins w:id="87" w:author="Kevin Wang (QMC)" w:date="2022-04-21T14:58:00Z"/>
              </w:rPr>
            </w:pPr>
            <w:ins w:id="88" w:author="Kevin Wang (QMC)" w:date="2022-04-21T14:59:00Z">
              <w:r>
                <w:t>-50</w:t>
              </w:r>
            </w:ins>
          </w:p>
        </w:tc>
        <w:tc>
          <w:tcPr>
            <w:tcW w:w="850" w:type="dxa"/>
            <w:tcBorders>
              <w:top w:val="single" w:sz="6" w:space="0" w:color="auto"/>
              <w:left w:val="single" w:sz="6" w:space="0" w:color="auto"/>
              <w:bottom w:val="single" w:sz="6" w:space="0" w:color="auto"/>
              <w:right w:val="single" w:sz="6" w:space="0" w:color="auto"/>
            </w:tcBorders>
            <w:noWrap/>
          </w:tcPr>
          <w:p>
            <w:pPr>
              <w:pStyle w:val="TAC"/>
              <w:rPr>
                <w:ins w:id="89" w:author="Kevin Wang (QMC)" w:date="2022-04-21T14:58:00Z"/>
              </w:rPr>
            </w:pPr>
            <w:ins w:id="90" w:author="Kevin Wang (QMC)" w:date="2022-04-21T14:59:00Z">
              <w:r>
                <w:t>1</w:t>
              </w:r>
            </w:ins>
          </w:p>
        </w:tc>
        <w:tc>
          <w:tcPr>
            <w:tcW w:w="928" w:type="dxa"/>
            <w:tcBorders>
              <w:top w:val="single" w:sz="6" w:space="0" w:color="auto"/>
              <w:left w:val="single" w:sz="6" w:space="0" w:color="auto"/>
              <w:bottom w:val="single" w:sz="6" w:space="0" w:color="auto"/>
              <w:right w:val="single" w:sz="4" w:space="0" w:color="auto"/>
            </w:tcBorders>
            <w:noWrap/>
          </w:tcPr>
          <w:p>
            <w:pPr>
              <w:pStyle w:val="TAC"/>
              <w:rPr>
                <w:ins w:id="91" w:author="Kevin Wang (QMC)" w:date="2022-04-21T14:58:00Z"/>
              </w:rPr>
            </w:pPr>
          </w:p>
        </w:tc>
      </w:tr>
      <w:tr>
        <w:trPr>
          <w:trHeight w:val="225"/>
          <w:jc w:val="center"/>
          <w:ins w:id="92" w:author="Kevin Wang (QMC)" w:date="2022-04-21T14:58:00Z"/>
        </w:trPr>
        <w:tc>
          <w:tcPr>
            <w:tcW w:w="959" w:type="dxa"/>
            <w:vMerge/>
            <w:tcBorders>
              <w:left w:val="single" w:sz="4" w:space="0" w:color="auto"/>
              <w:right w:val="single" w:sz="6" w:space="0" w:color="auto"/>
            </w:tcBorders>
          </w:tcPr>
          <w:p>
            <w:pPr>
              <w:pStyle w:val="TAC"/>
              <w:rPr>
                <w:ins w:id="93" w:author="Kevin Wang (QMC)" w:date="2022-04-21T14:58:00Z"/>
              </w:rPr>
            </w:pPr>
          </w:p>
        </w:tc>
        <w:tc>
          <w:tcPr>
            <w:tcW w:w="2831" w:type="dxa"/>
            <w:tcBorders>
              <w:top w:val="single" w:sz="6" w:space="0" w:color="auto"/>
              <w:left w:val="single" w:sz="6" w:space="0" w:color="auto"/>
              <w:bottom w:val="single" w:sz="6" w:space="0" w:color="auto"/>
              <w:right w:val="single" w:sz="6" w:space="0" w:color="auto"/>
            </w:tcBorders>
          </w:tcPr>
          <w:p>
            <w:pPr>
              <w:pStyle w:val="TAC"/>
              <w:rPr>
                <w:ins w:id="94" w:author="Kevin Wang (QMC)" w:date="2022-04-21T14:58:00Z"/>
              </w:rPr>
            </w:pPr>
            <w:ins w:id="95" w:author="Kevin Wang (QMC)" w:date="2022-04-21T14:59:00Z">
              <w:r>
                <w:t>Frequency range</w:t>
              </w:r>
            </w:ins>
          </w:p>
        </w:tc>
        <w:tc>
          <w:tcPr>
            <w:tcW w:w="964" w:type="dxa"/>
            <w:tcBorders>
              <w:top w:val="single" w:sz="6" w:space="0" w:color="auto"/>
              <w:left w:val="single" w:sz="6" w:space="0" w:color="auto"/>
              <w:bottom w:val="single" w:sz="6" w:space="0" w:color="auto"/>
              <w:right w:val="single" w:sz="6" w:space="0" w:color="auto"/>
            </w:tcBorders>
          </w:tcPr>
          <w:p>
            <w:pPr>
              <w:pStyle w:val="TAC"/>
              <w:rPr>
                <w:ins w:id="96" w:author="Kevin Wang (QMC)" w:date="2022-04-21T14:58:00Z"/>
              </w:rPr>
            </w:pPr>
            <w:ins w:id="97" w:author="Kevin Wang (QMC)" w:date="2022-04-21T14:59:00Z">
              <w:r>
                <w:t>1884.5</w:t>
              </w:r>
            </w:ins>
          </w:p>
        </w:tc>
        <w:tc>
          <w:tcPr>
            <w:tcW w:w="386" w:type="dxa"/>
            <w:tcBorders>
              <w:top w:val="single" w:sz="6" w:space="0" w:color="auto"/>
              <w:left w:val="single" w:sz="6" w:space="0" w:color="auto"/>
              <w:bottom w:val="single" w:sz="6" w:space="0" w:color="auto"/>
              <w:right w:val="single" w:sz="6" w:space="0" w:color="auto"/>
            </w:tcBorders>
          </w:tcPr>
          <w:p>
            <w:pPr>
              <w:pStyle w:val="TAC"/>
              <w:rPr>
                <w:ins w:id="98" w:author="Kevin Wang (QMC)" w:date="2022-04-21T14:58:00Z"/>
              </w:rPr>
            </w:pPr>
            <w:ins w:id="99" w:author="Kevin Wang (QMC)" w:date="2022-04-21T14:59:00Z">
              <w:r>
                <w:t>-</w:t>
              </w:r>
            </w:ins>
          </w:p>
        </w:tc>
        <w:tc>
          <w:tcPr>
            <w:tcW w:w="1174" w:type="dxa"/>
            <w:tcBorders>
              <w:top w:val="single" w:sz="6" w:space="0" w:color="auto"/>
              <w:left w:val="single" w:sz="6" w:space="0" w:color="auto"/>
              <w:bottom w:val="single" w:sz="6" w:space="0" w:color="auto"/>
              <w:right w:val="single" w:sz="6" w:space="0" w:color="auto"/>
            </w:tcBorders>
          </w:tcPr>
          <w:p>
            <w:pPr>
              <w:pStyle w:val="TAC"/>
              <w:rPr>
                <w:ins w:id="100" w:author="Kevin Wang (QMC)" w:date="2022-04-21T14:58:00Z"/>
              </w:rPr>
            </w:pPr>
            <w:ins w:id="101" w:author="Kevin Wang (QMC)" w:date="2022-04-21T14:59:00Z">
              <w:r>
                <w:t>1915.7</w:t>
              </w:r>
            </w:ins>
          </w:p>
        </w:tc>
        <w:tc>
          <w:tcPr>
            <w:tcW w:w="848" w:type="dxa"/>
            <w:tcBorders>
              <w:top w:val="single" w:sz="6" w:space="0" w:color="auto"/>
              <w:left w:val="single" w:sz="6" w:space="0" w:color="auto"/>
              <w:bottom w:val="single" w:sz="6" w:space="0" w:color="auto"/>
              <w:right w:val="single" w:sz="6" w:space="0" w:color="auto"/>
            </w:tcBorders>
          </w:tcPr>
          <w:p>
            <w:pPr>
              <w:pStyle w:val="TAC"/>
              <w:rPr>
                <w:ins w:id="102" w:author="Kevin Wang (QMC)" w:date="2022-04-21T14:58:00Z"/>
              </w:rPr>
            </w:pPr>
            <w:ins w:id="103" w:author="Kevin Wang (QMC)" w:date="2022-04-21T14:59:00Z">
              <w:r>
                <w:t>-41</w:t>
              </w:r>
            </w:ins>
          </w:p>
        </w:tc>
        <w:tc>
          <w:tcPr>
            <w:tcW w:w="850" w:type="dxa"/>
            <w:tcBorders>
              <w:top w:val="single" w:sz="6" w:space="0" w:color="auto"/>
              <w:left w:val="single" w:sz="6" w:space="0" w:color="auto"/>
              <w:bottom w:val="single" w:sz="6" w:space="0" w:color="auto"/>
              <w:right w:val="single" w:sz="6" w:space="0" w:color="auto"/>
            </w:tcBorders>
            <w:noWrap/>
          </w:tcPr>
          <w:p>
            <w:pPr>
              <w:pStyle w:val="TAC"/>
              <w:rPr>
                <w:ins w:id="104" w:author="Kevin Wang (QMC)" w:date="2022-04-21T14:58:00Z"/>
              </w:rPr>
            </w:pPr>
            <w:ins w:id="105" w:author="Kevin Wang (QMC)" w:date="2022-04-21T14:59:00Z">
              <w:r>
                <w:t>0.3</w:t>
              </w:r>
            </w:ins>
          </w:p>
        </w:tc>
        <w:tc>
          <w:tcPr>
            <w:tcW w:w="928" w:type="dxa"/>
            <w:tcBorders>
              <w:top w:val="single" w:sz="6" w:space="0" w:color="auto"/>
              <w:left w:val="single" w:sz="6" w:space="0" w:color="auto"/>
              <w:bottom w:val="single" w:sz="6" w:space="0" w:color="auto"/>
              <w:right w:val="single" w:sz="4" w:space="0" w:color="auto"/>
            </w:tcBorders>
            <w:noWrap/>
          </w:tcPr>
          <w:p>
            <w:pPr>
              <w:pStyle w:val="TAC"/>
              <w:rPr>
                <w:ins w:id="106" w:author="Kevin Wang (QMC)" w:date="2022-04-21T14:58:00Z"/>
              </w:rPr>
            </w:pPr>
            <w:ins w:id="107" w:author="Kevin Wang (QMC)" w:date="2022-04-21T14:59:00Z">
              <w:r>
                <w:t>8</w:t>
              </w:r>
            </w:ins>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C"/>
            </w:pPr>
            <w:r>
              <w:t>E-UTRA Band 1, 3, 5, 8, 11, 18, 19, 21, 28, 34, 39, 40, 41, 42, 65, 74</w:t>
            </w:r>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t xml:space="preserve"> </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 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Void</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TAN"/>
            </w:pPr>
            <w:r>
              <w:t>NOTE 34:</w:t>
            </w:r>
            <w:r>
              <w:tab/>
              <w:t>This requirement is applicable for 5 and 10 MHz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pPr>
              <w:pStyle w:val="TAN"/>
            </w:pPr>
            <w:r>
              <w:t>NOTE 43: Void</w:t>
            </w:r>
          </w:p>
          <w:p>
            <w:pPr>
              <w:pStyle w:val="TAN"/>
            </w:pPr>
            <w:r>
              <w:t>NOTE 44: Void</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r>
        <w:t>Table 6.5.3.2.3-2 Requirements for spurious emissions for UE co-existence Rel-16 specifies the requirements for NR bands for coexistence with protected bands.</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color w:val="00000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pPr>
      <w:suppressAutoHyphens/>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pPr>
      <w:suppressAutoHyphens/>
      <w:ind w:left="567"/>
    </w:pPr>
    <w:rPr>
      <w:rFonts w:ascii="Arial" w:eastAsia="MS Mincho" w:hAnsi="Arial" w:cs="Arial"/>
      <w:color w:val="000000"/>
      <w:lang w:eastAsia="ar-SA"/>
    </w:rPr>
  </w:style>
  <w:style w:type="paragraph" w:customStyle="1" w:styleId="5f">
    <w:name w:val="標準インデント5"/>
    <w:basedOn w:val="Normal"/>
    <w:pPr>
      <w:suppressAutoHyphens/>
      <w:ind w:left="708"/>
    </w:pPr>
    <w:rPr>
      <w:rFonts w:eastAsia="MS Mincho" w:cs="CG Times (WN)"/>
      <w:color w:val="000000"/>
      <w:lang w:eastAsia="ar-SA"/>
    </w:rPr>
  </w:style>
  <w:style w:type="paragraph" w:customStyle="1" w:styleId="5f0">
    <w:name w:val="記5"/>
    <w:basedOn w:val="Normal"/>
    <w:next w:val="Normal"/>
    <w:pPr>
      <w:suppressAutoHyphens/>
    </w:pPr>
    <w:rPr>
      <w:rFonts w:eastAsia="MS Mincho" w:cs="CG Times (WN)"/>
      <w:color w:val="000000"/>
      <w:lang w:eastAsia="ar-SA"/>
    </w:rPr>
  </w:style>
  <w:style w:type="paragraph" w:customStyle="1" w:styleId="HTML5">
    <w:name w:val="HTML 書式付き5"/>
    <w:basedOn w:val="Normal"/>
    <w:pPr>
      <w:suppressAutoHyphens/>
    </w:pPr>
    <w:rPr>
      <w:rFonts w:ascii="Courier New" w:eastAsia="MS Mincho" w:hAnsi="Courier New" w:cs="Courier New"/>
      <w:color w:val="000000"/>
      <w:lang w:eastAsia="ar-SA"/>
    </w:rPr>
  </w:style>
  <w:style w:type="paragraph" w:customStyle="1" w:styleId="254">
    <w:name w:val="本文 25"/>
    <w:basedOn w:val="Normal"/>
    <w:pPr>
      <w:suppressAutoHyphens/>
      <w:spacing w:after="120"/>
    </w:pPr>
    <w:rPr>
      <w:rFonts w:eastAsia="MS Mincho" w:cs="CG Times (WN)"/>
      <w:color w:val="000000"/>
      <w:lang w:eastAsia="ar-SA"/>
    </w:rPr>
  </w:style>
  <w:style w:type="paragraph" w:customStyle="1" w:styleId="352">
    <w:name w:val="本文 35"/>
    <w:basedOn w:val="Normal"/>
    <w:pPr>
      <w:suppressAutoHyphens/>
      <w:spacing w:after="120"/>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8</Pages>
  <Words>3091</Words>
  <Characters>14043</Characters>
  <Application>Microsoft Office Word</Application>
  <DocSecurity>0</DocSecurity>
  <Lines>117</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69</cp:revision>
  <cp:lastPrinted>1900-01-01T08:00:00Z</cp:lastPrinted>
  <dcterms:created xsi:type="dcterms:W3CDTF">2020-02-03T08:32:00Z</dcterms:created>
  <dcterms:modified xsi:type="dcterms:W3CDTF">2022-04-25T19:41:00Z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